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ind w:left="218" w:leftChars="104" w:firstLine="0" w:firstLineChars="0"/>
        <w:jc w:val="center"/>
        <w:rPr>
          <w:rFonts w:hint="default" w:cs="Times New Roman"/>
          <w:b/>
          <w:color w:val="auto"/>
          <w:sz w:val="32"/>
          <w:szCs w:val="32"/>
          <w:lang w:val="en-US" w:eastAsia="zh-CN"/>
        </w:rPr>
      </w:pPr>
      <w:r>
        <w:rPr>
          <w:rFonts w:hint="eastAsia" w:cs="Times New Roman"/>
          <w:b/>
          <w:color w:val="auto"/>
          <w:sz w:val="32"/>
          <w:szCs w:val="32"/>
          <w:lang w:val="en-US" w:eastAsia="zh-CN"/>
        </w:rPr>
        <w:t>茌平县恒远兴业路桥有限责任公司沥青搅拌站及稳定土搅拌站项目（二期）</w:t>
      </w:r>
      <w:r>
        <w:rPr>
          <w:rFonts w:hint="default" w:cs="Times New Roman"/>
          <w:b/>
          <w:color w:val="auto"/>
          <w:sz w:val="32"/>
          <w:szCs w:val="32"/>
          <w:lang w:val="en-US" w:eastAsia="zh-CN"/>
        </w:rPr>
        <w:t>竣工环境保护验收现场检查及验收工作组验收意见</w:t>
      </w:r>
    </w:p>
    <w:p>
      <w:pPr>
        <w:tabs>
          <w:tab w:val="left" w:pos="220"/>
        </w:tabs>
        <w:spacing w:line="240" w:lineRule="auto"/>
        <w:ind w:left="233" w:leftChars="111" w:firstLine="518" w:firstLineChars="216"/>
        <w:jc w:val="left"/>
        <w:rPr>
          <w:rFonts w:hint="default" w:ascii="Times New Roman" w:hAnsi="Times New Roman" w:eastAsia="宋体" w:cs="Times New Roman"/>
          <w:color w:val="auto"/>
          <w:sz w:val="24"/>
          <w:szCs w:val="24"/>
          <w:highlight w:val="none"/>
        </w:rPr>
      </w:pP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highlight w:val="none"/>
          <w:lang w:eastAsia="zh-CN"/>
        </w:rPr>
        <w:t>2022年10月23日</w:t>
      </w:r>
      <w:r>
        <w:rPr>
          <w:rFonts w:hint="default" w:ascii="Times New Roman" w:hAnsi="Times New Roman" w:eastAsia="宋体" w:cs="Times New Roman"/>
          <w:color w:val="auto"/>
          <w:sz w:val="24"/>
          <w:szCs w:val="24"/>
        </w:rPr>
        <w:t>，</w:t>
      </w:r>
      <w:r>
        <w:rPr>
          <w:rFonts w:hint="eastAsia" w:cs="Times New Roman"/>
          <w:color w:val="auto"/>
          <w:sz w:val="24"/>
          <w:szCs w:val="24"/>
          <w:lang w:val="en-US" w:eastAsia="zh-CN"/>
        </w:rPr>
        <w:t>茌平县恒远兴业路桥有限责任公司</w:t>
      </w:r>
      <w:r>
        <w:rPr>
          <w:rFonts w:hint="default" w:ascii="Times New Roman" w:hAnsi="Times New Roman" w:eastAsia="宋体" w:cs="Times New Roman"/>
          <w:color w:val="auto"/>
          <w:sz w:val="24"/>
          <w:szCs w:val="24"/>
          <w:highlight w:val="none"/>
        </w:rPr>
        <w:t>组织召开</w:t>
      </w:r>
      <w:r>
        <w:rPr>
          <w:rFonts w:hint="eastAsia" w:cs="Times New Roman"/>
          <w:color w:val="auto"/>
          <w:sz w:val="24"/>
          <w:szCs w:val="24"/>
          <w:highlight w:val="none"/>
          <w:lang w:val="en-US" w:eastAsia="zh-CN"/>
        </w:rPr>
        <w:t>沥青搅拌站及稳定土搅拌站项目（二期）</w:t>
      </w:r>
      <w:r>
        <w:rPr>
          <w:rFonts w:hint="default" w:ascii="Times New Roman" w:hAnsi="Times New Roman" w:eastAsia="宋体" w:cs="Times New Roman"/>
          <w:color w:val="auto"/>
          <w:sz w:val="24"/>
          <w:szCs w:val="24"/>
          <w:highlight w:val="none"/>
        </w:rPr>
        <w:t>竣</w:t>
      </w:r>
      <w:r>
        <w:rPr>
          <w:rFonts w:hint="default" w:ascii="Times New Roman" w:hAnsi="Times New Roman" w:eastAsia="宋体" w:cs="Times New Roman"/>
          <w:color w:val="auto"/>
          <w:sz w:val="24"/>
          <w:szCs w:val="24"/>
        </w:rPr>
        <w:t>工环境保护验收现场检查及验收会。验收工作组由工程建设单位（</w:t>
      </w:r>
      <w:r>
        <w:rPr>
          <w:rFonts w:hint="eastAsia" w:cs="Times New Roman"/>
          <w:color w:val="auto"/>
          <w:sz w:val="24"/>
          <w:szCs w:val="24"/>
          <w:lang w:val="en-US" w:eastAsia="zh-CN"/>
        </w:rPr>
        <w:t>茌平县恒远兴业路桥有限责任公司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检测</w:t>
      </w:r>
      <w:r>
        <w:rPr>
          <w:rFonts w:hint="default" w:ascii="Times New Roman" w:hAnsi="Times New Roman" w:eastAsia="宋体" w:cs="Times New Roman"/>
          <w:color w:val="auto"/>
          <w:sz w:val="24"/>
          <w:szCs w:val="24"/>
        </w:rPr>
        <w:t>单位（</w:t>
      </w: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、验收报告编制单位（山东绿和环保咨询有限公司）</w:t>
      </w:r>
      <w:r>
        <w:rPr>
          <w:rFonts w:hint="default" w:ascii="Times New Roman" w:hAnsi="Times New Roman" w:eastAsia="宋体" w:cs="Times New Roman"/>
          <w:color w:val="auto"/>
          <w:sz w:val="24"/>
          <w:szCs w:val="24"/>
        </w:rPr>
        <w:t>并特邀</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名技术专家（名单附后）组成。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pStyle w:val="3"/>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eastAsia="zh-CN"/>
        </w:rPr>
        <w:t>茌平县恒远兴业路桥有限责任公司位于山东省聊城市茌平县乐平镇南王村。项目预计总投资770万元，占地13334.02m</w:t>
      </w:r>
      <w:r>
        <w:rPr>
          <w:rFonts w:hint="eastAsia" w:cs="Times New Roman"/>
          <w:color w:val="auto"/>
          <w:sz w:val="24"/>
          <w:szCs w:val="24"/>
          <w:vertAlign w:val="superscript"/>
          <w:lang w:eastAsia="zh-CN"/>
        </w:rPr>
        <w:t>2</w:t>
      </w:r>
      <w:r>
        <w:rPr>
          <w:rFonts w:hint="eastAsia" w:cs="Times New Roman"/>
          <w:color w:val="auto"/>
          <w:sz w:val="24"/>
          <w:szCs w:val="24"/>
          <w:lang w:eastAsia="zh-CN"/>
        </w:rPr>
        <w:t>，建设沥青搅拌站及稳定土搅拌站项目，生产规模为年产2万吨沥青混凝土，10万吨碎石稳定土。由于企业资金问题，项目一期实际投资320万元，购置一套稳定土搅拌站，生产规模为年产10万吨碎石稳定土，一期已于2020年5月完成验收。项目二期实际投资450万元，购置一套沥青搅拌站，生产规模为年产2万吨沥青混凝土，本次验收为二期</w:t>
      </w:r>
      <w:r>
        <w:rPr>
          <w:rFonts w:hint="default" w:ascii="Times New Roman" w:hAnsi="Times New Roman" w:eastAsia="宋体" w:cs="Times New Roman"/>
          <w:color w:val="auto"/>
          <w:sz w:val="24"/>
          <w:szCs w:val="24"/>
          <w:lang w:eastAsia="zh-CN"/>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p>
    <w:p>
      <w:pPr>
        <w:spacing w:line="360" w:lineRule="auto"/>
        <w:ind w:left="233" w:leftChars="111" w:firstLine="518" w:firstLineChars="216"/>
        <w:rPr>
          <w:rFonts w:hint="eastAsia" w:cs="Times New Roman"/>
          <w:color w:val="auto"/>
          <w:kern w:val="2"/>
          <w:sz w:val="24"/>
          <w:szCs w:val="24"/>
          <w:lang w:val="en-US" w:eastAsia="zh-CN" w:bidi="ar-SA"/>
        </w:rPr>
      </w:pPr>
      <w:r>
        <w:rPr>
          <w:rFonts w:hint="eastAsia" w:cs="Times New Roman"/>
          <w:color w:val="auto"/>
          <w:kern w:val="2"/>
          <w:sz w:val="24"/>
          <w:szCs w:val="24"/>
          <w:lang w:val="en-US" w:eastAsia="zh-CN" w:bidi="ar-SA"/>
        </w:rPr>
        <w:t>本次验收为新建项目。2017年8月茌平县恒远兴业路桥有限责任公司委托江苏绿源工程设计研究有限公司编制了《茌平县恒远兴业路桥有限责任公司沥青搅拌站及稳定土搅拌站项目环境影响报告表》，2017年12月31日茌平县环境保护局以茌环管[2017]449号对其进行了审批。</w:t>
      </w:r>
    </w:p>
    <w:p>
      <w:pPr>
        <w:spacing w:line="360" w:lineRule="auto"/>
        <w:ind w:left="233" w:leftChars="111" w:firstLine="518" w:firstLineChars="216"/>
        <w:rPr>
          <w:rFonts w:hint="eastAsia" w:cs="Times New Roman"/>
          <w:color w:val="auto"/>
          <w:kern w:val="2"/>
          <w:sz w:val="24"/>
          <w:szCs w:val="24"/>
          <w:lang w:val="en-US" w:eastAsia="zh-CN" w:bidi="ar-SA"/>
        </w:rPr>
      </w:pPr>
      <w:r>
        <w:rPr>
          <w:rFonts w:hint="eastAsia" w:cs="Times New Roman"/>
          <w:color w:val="auto"/>
          <w:kern w:val="2"/>
          <w:sz w:val="24"/>
          <w:szCs w:val="24"/>
          <w:lang w:val="en-US" w:eastAsia="zh-CN" w:bidi="ar-SA"/>
        </w:rPr>
        <w:t>2019年12月公司委托山东聊和环保科技有限公司进行了该项目一期的环保验收监测工作，接受委托后山东聊和环保科技有限公司组织有关技术人员进行现场踏勘，依据监测技术规范制定了环保验收一期监测方案，并于2020年05月05日-06日对该企业进行了验收一期监测，根据验收监测结果和现场检查情况编制了本项目一期验收监测报告。</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2022年8月公司委托山东绿和环保咨询有限公司进行本项目二期的环保验收工作，山东绿和环保咨询有限公司组织有关技术人员进行现场踏勘，依据监测技术规范制定了环保验收二期监测方案，并委托山东聊和环保科技有限公司于2022年09月28日-29日对该企业进行了项目二期监测，根据验收监测结果和现场检查情况，山东绿和环保咨询有限公司编制了本项目二期验收监测报告</w:t>
      </w:r>
      <w:bookmarkStart w:id="0" w:name="_GoBack"/>
      <w:bookmarkEnd w:id="0"/>
      <w:r>
        <w:rPr>
          <w:rFonts w:hint="default" w:ascii="Times New Roman" w:hAnsi="Times New Roman" w:eastAsia="宋体" w:cs="Times New Roman"/>
          <w:color w:val="auto"/>
          <w:kern w:val="2"/>
          <w:sz w:val="24"/>
          <w:szCs w:val="24"/>
          <w:lang w:val="en-US" w:eastAsia="zh-CN" w:bidi="ar-SA"/>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w:t>
      </w:r>
      <w:r>
        <w:rPr>
          <w:rFonts w:hint="eastAsia" w:cs="Times New Roman"/>
          <w:color w:val="auto"/>
          <w:sz w:val="24"/>
          <w:szCs w:val="24"/>
          <w:lang w:eastAsia="zh-CN"/>
        </w:rPr>
        <w:t>二期</w:t>
      </w:r>
      <w:r>
        <w:rPr>
          <w:rFonts w:hint="default" w:ascii="Times New Roman" w:hAnsi="Times New Roman" w:eastAsia="宋体" w:cs="Times New Roman"/>
          <w:color w:val="auto"/>
          <w:sz w:val="24"/>
          <w:szCs w:val="24"/>
        </w:rPr>
        <w:t>实际总投资</w:t>
      </w:r>
      <w:r>
        <w:rPr>
          <w:rFonts w:hint="eastAsia" w:cs="Times New Roman"/>
          <w:color w:val="auto"/>
          <w:sz w:val="24"/>
          <w:szCs w:val="24"/>
          <w:lang w:val="en-US" w:eastAsia="zh-CN"/>
        </w:rPr>
        <w:t>450</w:t>
      </w:r>
      <w:r>
        <w:rPr>
          <w:rFonts w:hint="default" w:ascii="Times New Roman" w:hAnsi="Times New Roman" w:eastAsia="宋体" w:cs="Times New Roman"/>
          <w:color w:val="auto"/>
          <w:sz w:val="24"/>
          <w:szCs w:val="24"/>
          <w:lang w:val="en-US" w:eastAsia="zh-CN"/>
        </w:rPr>
        <w:t>万</w:t>
      </w:r>
      <w:r>
        <w:rPr>
          <w:rFonts w:hint="default" w:ascii="Times New Roman" w:hAnsi="Times New Roman" w:eastAsia="宋体" w:cs="Times New Roman"/>
          <w:color w:val="auto"/>
          <w:sz w:val="24"/>
          <w:szCs w:val="24"/>
        </w:rPr>
        <w:t>元，其中环保投资</w:t>
      </w:r>
      <w:r>
        <w:rPr>
          <w:rFonts w:hint="eastAsia" w:cs="Times New Roman"/>
          <w:color w:val="auto"/>
          <w:sz w:val="24"/>
          <w:szCs w:val="24"/>
          <w:lang w:val="en-US" w:eastAsia="zh-CN"/>
        </w:rPr>
        <w:t>25</w:t>
      </w:r>
      <w:r>
        <w:rPr>
          <w:rFonts w:hint="default" w:ascii="Times New Roman" w:hAnsi="Times New Roman" w:eastAsia="宋体" w:cs="Times New Roman"/>
          <w:color w:val="auto"/>
          <w:sz w:val="24"/>
          <w:szCs w:val="24"/>
        </w:rPr>
        <w:t>万元</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占总投资</w:t>
      </w:r>
      <w:r>
        <w:rPr>
          <w:rFonts w:hint="eastAsia" w:cs="Times New Roman"/>
          <w:color w:val="auto"/>
          <w:sz w:val="24"/>
          <w:szCs w:val="24"/>
          <w:lang w:val="en-US" w:eastAsia="zh-CN"/>
        </w:rPr>
        <w:t>5.56</w:t>
      </w:r>
      <w:r>
        <w:rPr>
          <w:rFonts w:hint="default" w:ascii="Times New Roman" w:hAnsi="Times New Roman" w:eastAsia="宋体" w:cs="Times New Roman"/>
          <w:color w:val="auto"/>
          <w:sz w:val="24"/>
          <w:szCs w:val="24"/>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w:t>
      </w:r>
      <w:r>
        <w:rPr>
          <w:rFonts w:hint="eastAsia" w:cs="Times New Roman"/>
          <w:color w:val="auto"/>
          <w:sz w:val="24"/>
          <w:szCs w:val="24"/>
          <w:lang w:eastAsia="zh-CN"/>
        </w:rPr>
        <w:t>二期</w:t>
      </w:r>
      <w:r>
        <w:rPr>
          <w:rFonts w:hint="default" w:ascii="Times New Roman" w:hAnsi="Times New Roman" w:eastAsia="宋体" w:cs="Times New Roman"/>
          <w:color w:val="auto"/>
          <w:sz w:val="24"/>
          <w:szCs w:val="24"/>
        </w:rPr>
        <w:t>的范围为</w:t>
      </w:r>
      <w:r>
        <w:rPr>
          <w:rFonts w:hint="eastAsia" w:cs="Times New Roman"/>
          <w:color w:val="auto"/>
          <w:sz w:val="24"/>
          <w:szCs w:val="24"/>
          <w:lang w:val="en-US" w:eastAsia="zh-CN"/>
        </w:rPr>
        <w:t>年产2万吨沥青混凝土的</w:t>
      </w:r>
      <w:r>
        <w:rPr>
          <w:rFonts w:hint="default" w:ascii="Times New Roman" w:hAnsi="Times New Roman" w:eastAsia="宋体" w:cs="Times New Roman"/>
          <w:color w:val="auto"/>
          <w:sz w:val="24"/>
          <w:szCs w:val="24"/>
          <w:lang w:val="en-US" w:eastAsia="zh-CN"/>
        </w:rPr>
        <w:t>生产设备</w:t>
      </w:r>
      <w:r>
        <w:rPr>
          <w:rFonts w:hint="default" w:ascii="Times New Roman" w:hAnsi="Times New Roman" w:eastAsia="宋体" w:cs="Times New Roman"/>
          <w:color w:val="auto"/>
          <w:sz w:val="24"/>
          <w:szCs w:val="24"/>
        </w:rPr>
        <w:t>及其配套环保设施。</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二、工程变更情况</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lang w:eastAsia="zh-CN"/>
        </w:rPr>
        <w:t>通过现场调查，对照环评报告及审批意见，本项目二期环评设计沥青烟环保处理设施为“电捕捉+活性炭吸附”，建设单位自主优化为“水喷淋+干式过滤+电捕捉+活性炭吸附”；为降低无组织粉尘排放，建设单位将配料斗投料粉尘收集后通入布袋除尘器处理，由一根2米高排气筒P4排放。本项目生产性质、生产规模、生产地点、生产工艺及环保设施均无明显变动，故本项目工程无重大变动</w:t>
      </w:r>
      <w:r>
        <w:rPr>
          <w:rFonts w:hint="default" w:ascii="Times New Roman" w:hAnsi="Times New Roman" w:eastAsia="宋体" w:cs="Times New Roman"/>
          <w:color w:val="auto"/>
          <w:sz w:val="24"/>
          <w:szCs w:val="24"/>
        </w:rPr>
        <w:t>。</w:t>
      </w:r>
    </w:p>
    <w:p>
      <w:pPr>
        <w:pStyle w:val="16"/>
        <w:numPr>
          <w:ilvl w:val="0"/>
          <w:numId w:val="1"/>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环境保护设施落实情况</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（一）废水污染源及其治理措施</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eastAsia" w:cs="Times New Roman"/>
          <w:color w:val="auto"/>
          <w:kern w:val="2"/>
          <w:sz w:val="24"/>
          <w:szCs w:val="24"/>
          <w:lang w:val="en-US" w:eastAsia="zh-CN" w:bidi="ar-SA"/>
        </w:rPr>
        <w:t>项目二期水喷淋用水定期补充损耗，不外排；搅拌机清洗废水及车辆冲洗废水经沉淀池沉淀后循环回用，项目无生产废水产生；废水主要为职工生活污水，经旱厕收集后，定期清运肥田，不外排</w:t>
      </w:r>
      <w:r>
        <w:rPr>
          <w:rFonts w:hint="default" w:ascii="Times New Roman" w:hAnsi="Times New Roman" w:eastAsia="宋体" w:cs="Times New Roman"/>
          <w:color w:val="auto"/>
          <w:kern w:val="2"/>
          <w:sz w:val="24"/>
          <w:szCs w:val="24"/>
          <w:lang w:val="en-US" w:eastAsia="zh-CN" w:bidi="ar-SA"/>
        </w:rPr>
        <w:t>。</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pPr>
        <w:spacing w:line="360" w:lineRule="auto"/>
        <w:ind w:left="233" w:leftChars="111" w:firstLine="518" w:firstLineChars="216"/>
        <w:jc w:val="left"/>
        <w:rPr>
          <w:rFonts w:hint="eastAsia" w:cs="Times New Roman"/>
          <w:snapToGrid w:val="0"/>
          <w:color w:val="auto"/>
          <w:kern w:val="0"/>
          <w:sz w:val="24"/>
          <w:szCs w:val="24"/>
          <w:lang w:val="en-US" w:eastAsia="zh-CN"/>
        </w:rPr>
      </w:pPr>
      <w:r>
        <w:rPr>
          <w:rFonts w:hint="eastAsia" w:cs="Times New Roman"/>
          <w:snapToGrid w:val="0"/>
          <w:color w:val="auto"/>
          <w:kern w:val="0"/>
          <w:sz w:val="24"/>
          <w:szCs w:val="24"/>
          <w:lang w:val="en-US" w:eastAsia="zh-CN"/>
        </w:rPr>
        <w:t>项目二期废气主要为配料斗投料粉尘，骨料烘干、筛分粉尘，沥青烟储罐、搅拌机出料口产生的沥青烟以及天然气燃烧废气。</w:t>
      </w:r>
    </w:p>
    <w:p>
      <w:pPr>
        <w:spacing w:line="360" w:lineRule="auto"/>
        <w:ind w:left="233" w:leftChars="111" w:firstLine="518" w:firstLineChars="216"/>
        <w:jc w:val="left"/>
        <w:rPr>
          <w:rFonts w:hint="eastAsia" w:cs="Times New Roman"/>
          <w:snapToGrid w:val="0"/>
          <w:color w:val="auto"/>
          <w:kern w:val="0"/>
          <w:sz w:val="24"/>
          <w:szCs w:val="24"/>
          <w:lang w:val="en-US" w:eastAsia="zh-CN"/>
        </w:rPr>
      </w:pPr>
      <w:r>
        <w:rPr>
          <w:rFonts w:hint="eastAsia" w:cs="Times New Roman"/>
          <w:snapToGrid w:val="0"/>
          <w:color w:val="auto"/>
          <w:kern w:val="0"/>
          <w:sz w:val="24"/>
          <w:szCs w:val="24"/>
          <w:lang w:val="en-US" w:eastAsia="zh-CN"/>
        </w:rPr>
        <w:t>骨料烘干粉尘部分回收利用，其余部分与筛分粉尘引至脉冲式布袋除尘器处理后，由一根15米高排气筒P1排放；沥青烟储罐、搅拌机出料口产生的沥青烟均引至“水喷淋+干式过滤+电捕捉+活性炭吸附”处理后由一根15米高排气筒P2排放；天然气燃烧废气经低氮燃烧器处理后由根15米高排气筒P3排放；配料斗投料粉尘收集后通入布袋除尘器处理，由一根2米高排气筒P4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eastAsia" w:cs="Times New Roman"/>
          <w:snapToGrid w:val="0"/>
          <w:color w:val="auto"/>
          <w:kern w:val="0"/>
          <w:sz w:val="24"/>
          <w:szCs w:val="24"/>
          <w:lang w:val="en-US" w:eastAsia="zh-CN"/>
        </w:rPr>
        <w:t>本项目无组织废气排放的环节主要来源于砂石进料及输送粉尘、运输车辆动力起尘、 砂石堆风力起尘及沥青搅拌时的恶臭等。通过采取喷淋系统对料场定期洒水，厂区道路定期洒水等措施，降低无组织粉尘排放；由于沥青从输送到拌合全部在密闭管道和设施中进行，恶臭污染物外排量较少，生产过程主要是在搅拌仓、提升斗开放时以及下料时处才会散发出少量的沥青烟恶臭污染物，不再进行定量分析</w:t>
      </w:r>
      <w:r>
        <w:rPr>
          <w:rFonts w:hint="default" w:ascii="Times New Roman" w:hAnsi="Times New Roman" w:eastAsia="宋体" w:cs="Times New Roman"/>
          <w:snapToGrid w:val="0"/>
          <w:color w:val="auto"/>
          <w:kern w:val="0"/>
          <w:sz w:val="24"/>
          <w:szCs w:val="24"/>
          <w:lang w:val="en-US" w:eastAsia="zh-CN"/>
        </w:rPr>
        <w:t>。</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（三）噪声</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 xml:space="preserve">本项目噪声主要为各类设备运行过程中产生，项目采用低噪声设备，采取对噪声源强较大的设备设置消声减震装置，并通过种植高大树木等阻挡噪声传播，降低对周围环境的影响。 </w:t>
      </w:r>
    </w:p>
    <w:p>
      <w:pPr>
        <w:spacing w:line="360" w:lineRule="auto"/>
        <w:ind w:left="233" w:leftChars="111" w:firstLine="518" w:firstLineChars="216"/>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p>
    <w:p>
      <w:pPr>
        <w:pStyle w:val="16"/>
        <w:numPr>
          <w:ilvl w:val="0"/>
          <w:numId w:val="0"/>
        </w:numPr>
        <w:spacing w:line="360" w:lineRule="auto"/>
        <w:ind w:left="233" w:leftChars="111" w:firstLine="518" w:firstLineChars="216"/>
        <w:jc w:val="left"/>
        <w:rPr>
          <w:rFonts w:hint="eastAsia"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项目二期固废主要有沉淀池沉渣、布袋除尘器收集粉尘、热石料筛分过程中产生的不合格石料、废过滤棉、废活性炭、废导热油及生活垃圾。</w:t>
      </w:r>
    </w:p>
    <w:p>
      <w:pPr>
        <w:pStyle w:val="16"/>
        <w:numPr>
          <w:ilvl w:val="0"/>
          <w:numId w:val="0"/>
        </w:numPr>
        <w:spacing w:line="360" w:lineRule="auto"/>
        <w:ind w:left="233" w:leftChars="111" w:firstLine="518" w:firstLineChars="216"/>
        <w:jc w:val="left"/>
        <w:rPr>
          <w:rFonts w:hint="eastAsia"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其中，沉淀池沉渣、布袋除尘器收集粉尘以及热石料筛分过程中产生的不合格石料全部回用于生产线综合利用；生活垃圾委托当地环卫部门统一清运处理。废过滤棉、废活性炭、废导热油属于危险废物，产生后暂存于厂区危废暂存间，定期委托有资质的危险废物处置单位进行处理。</w:t>
      </w:r>
    </w:p>
    <w:p>
      <w:pPr>
        <w:pStyle w:val="16"/>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default" w:ascii="Times New Roman" w:hAnsi="Times New Roman" w:eastAsia="宋体" w:cs="Times New Roman"/>
          <w:snapToGrid w:val="0"/>
          <w:color w:val="auto"/>
          <w:kern w:val="0"/>
          <w:sz w:val="24"/>
          <w:szCs w:val="24"/>
          <w:lang w:val="en-US" w:eastAsia="zh-CN" w:bidi="ar-SA"/>
        </w:rPr>
        <w:t>四、验收监测结果</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（一）环保设施运行检测结果</w:t>
      </w:r>
    </w:p>
    <w:p>
      <w:pPr>
        <w:widowControl/>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lang w:eastAsia="zh-CN"/>
        </w:rPr>
        <w:t>山东绿和环保咨询有限公司</w:t>
      </w:r>
      <w:r>
        <w:rPr>
          <w:rFonts w:hint="default" w:ascii="Times New Roman" w:hAnsi="Times New Roman" w:eastAsia="宋体" w:cs="Times New Roman"/>
          <w:color w:val="auto"/>
          <w:sz w:val="24"/>
          <w:szCs w:val="24"/>
        </w:rPr>
        <w:t>出具的</w:t>
      </w:r>
      <w:r>
        <w:rPr>
          <w:rFonts w:hint="default" w:ascii="Times New Roman" w:hAnsi="Times New Roman" w:eastAsia="宋体" w:cs="Times New Roman"/>
          <w:b w:val="0"/>
          <w:bCs w:val="0"/>
          <w:color w:val="auto"/>
          <w:sz w:val="24"/>
          <w:szCs w:val="24"/>
        </w:rPr>
        <w:t>《</w:t>
      </w:r>
      <w:r>
        <w:rPr>
          <w:rFonts w:hint="eastAsia" w:cs="Times New Roman"/>
          <w:b w:val="0"/>
          <w:bCs w:val="0"/>
          <w:color w:val="auto"/>
          <w:sz w:val="24"/>
          <w:szCs w:val="24"/>
          <w:lang w:val="en-US" w:eastAsia="zh-CN"/>
        </w:rPr>
        <w:t>茌平县恒远兴业路桥有限责任公司沥青搅拌站及稳定土搅拌站项目（二期）</w:t>
      </w:r>
      <w:r>
        <w:rPr>
          <w:rFonts w:hint="default" w:ascii="Times New Roman" w:hAnsi="Times New Roman" w:eastAsia="宋体" w:cs="Times New Roman"/>
          <w:color w:val="auto"/>
          <w:sz w:val="24"/>
          <w:szCs w:val="24"/>
        </w:rPr>
        <w:t>竣工环境保护验收监测报告》监测结果表明：</w:t>
      </w:r>
    </w:p>
    <w:p>
      <w:pPr>
        <w:numPr>
          <w:ilvl w:val="0"/>
          <w:numId w:val="2"/>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废水</w:t>
      </w:r>
    </w:p>
    <w:p>
      <w:pPr>
        <w:spacing w:line="360" w:lineRule="auto"/>
        <w:ind w:left="233" w:leftChars="111" w:firstLine="518" w:firstLineChars="216"/>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color w:val="auto"/>
          <w:sz w:val="24"/>
          <w:szCs w:val="24"/>
          <w:lang w:val="en-US" w:eastAsia="zh-CN"/>
        </w:rPr>
        <w:t>同上文三、（</w:t>
      </w:r>
      <w:r>
        <w:rPr>
          <w:rFonts w:hint="eastAsia" w:cs="Times New Roman"/>
          <w:color w:val="auto"/>
          <w:sz w:val="24"/>
          <w:szCs w:val="24"/>
          <w:lang w:val="en-US" w:eastAsia="zh-CN"/>
        </w:rPr>
        <w:t>一</w:t>
      </w:r>
      <w:r>
        <w:rPr>
          <w:rFonts w:hint="default" w:ascii="Times New Roman" w:hAnsi="Times New Roman" w:eastAsia="宋体" w:cs="Times New Roman"/>
          <w:color w:val="auto"/>
          <w:sz w:val="24"/>
          <w:szCs w:val="24"/>
          <w:lang w:val="en-US" w:eastAsia="zh-CN"/>
        </w:rPr>
        <w:t>）。</w:t>
      </w:r>
    </w:p>
    <w:p>
      <w:pPr>
        <w:numPr>
          <w:ilvl w:val="0"/>
          <w:numId w:val="3"/>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废气</w:t>
      </w:r>
    </w:p>
    <w:p>
      <w:pPr>
        <w:spacing w:line="360" w:lineRule="auto"/>
        <w:ind w:left="233" w:leftChars="111" w:firstLine="518" w:firstLineChars="216"/>
        <w:rPr>
          <w:rFonts w:hint="default" w:cs="Times New Roman"/>
          <w:color w:val="auto"/>
          <w:sz w:val="24"/>
          <w:szCs w:val="24"/>
          <w:lang w:val="en-US" w:eastAsia="zh-CN"/>
        </w:rPr>
      </w:pPr>
      <w:r>
        <w:rPr>
          <w:rFonts w:hint="default" w:ascii="Times New Roman" w:hAnsi="Times New Roman" w:eastAsia="宋体" w:cs="Times New Roman"/>
          <w:color w:val="auto"/>
          <w:sz w:val="24"/>
          <w:szCs w:val="24"/>
          <w:highlight w:val="none"/>
        </w:rPr>
        <w:t>验</w:t>
      </w:r>
      <w:r>
        <w:rPr>
          <w:rFonts w:hint="default" w:ascii="Times New Roman" w:hAnsi="Times New Roman" w:eastAsia="宋体" w:cs="Times New Roman"/>
          <w:bCs/>
          <w:color w:val="auto"/>
          <w:sz w:val="24"/>
          <w:szCs w:val="24"/>
          <w:highlight w:val="none"/>
        </w:rPr>
        <w:t>收监测期间，</w:t>
      </w:r>
      <w:r>
        <w:rPr>
          <w:rFonts w:hint="eastAsia" w:ascii="Times New Roman" w:hAnsi="Times New Roman" w:cs="Times New Roman"/>
          <w:bCs/>
          <w:color w:val="auto"/>
          <w:sz w:val="24"/>
          <w:szCs w:val="24"/>
          <w:highlight w:val="none"/>
          <w:lang w:val="en-US" w:eastAsia="zh-CN"/>
        </w:rPr>
        <w:t>P1</w:t>
      </w:r>
      <w:r>
        <w:rPr>
          <w:rFonts w:hint="default" w:ascii="Times New Roman" w:hAnsi="Times New Roman" w:eastAsia="宋体" w:cs="Times New Roman"/>
          <w:bCs/>
          <w:color w:val="auto"/>
          <w:sz w:val="24"/>
          <w:szCs w:val="24"/>
          <w:highlight w:val="none"/>
        </w:rPr>
        <w:t>有组织颗粒物最高排放浓度</w:t>
      </w:r>
      <w:r>
        <w:rPr>
          <w:rFonts w:hint="default" w:ascii="Times New Roman" w:hAnsi="Times New Roman" w:eastAsia="宋体" w:cs="Times New Roman"/>
          <w:bCs/>
          <w:color w:val="auto"/>
          <w:sz w:val="24"/>
          <w:szCs w:val="24"/>
          <w:highlight w:val="none"/>
          <w:lang w:eastAsia="zh-CN"/>
        </w:rPr>
        <w:t>为</w:t>
      </w:r>
      <w:r>
        <w:rPr>
          <w:rFonts w:hint="eastAsia" w:ascii="Times New Roman" w:hAnsi="Times New Roman" w:cs="Times New Roman"/>
          <w:bCs/>
          <w:color w:val="auto"/>
          <w:sz w:val="24"/>
          <w:szCs w:val="24"/>
          <w:highlight w:val="none"/>
          <w:lang w:val="en-US" w:eastAsia="zh-CN"/>
        </w:rPr>
        <w:t>4.9</w:t>
      </w:r>
      <w:r>
        <w:rPr>
          <w:rFonts w:hint="default" w:ascii="Times New Roman" w:hAnsi="Times New Roman" w:eastAsia="宋体" w:cs="Times New Roman"/>
          <w:bCs/>
          <w:color w:val="auto"/>
          <w:sz w:val="24"/>
          <w:szCs w:val="24"/>
          <w:highlight w:val="none"/>
        </w:rPr>
        <w:t>mg/m</w:t>
      </w:r>
      <w:r>
        <w:rPr>
          <w:rFonts w:hint="default" w:ascii="Times New Roman" w:hAnsi="Times New Roman" w:eastAsia="宋体" w:cs="Times New Roman"/>
          <w:bCs/>
          <w:color w:val="auto"/>
          <w:sz w:val="24"/>
          <w:szCs w:val="24"/>
          <w:highlight w:val="none"/>
          <w:vertAlign w:val="superscript"/>
        </w:rPr>
        <w:t>3</w:t>
      </w:r>
      <w:r>
        <w:rPr>
          <w:rFonts w:hint="default" w:ascii="Times New Roman" w:hAnsi="Times New Roman" w:eastAsia="宋体" w:cs="Times New Roman"/>
          <w:bCs/>
          <w:color w:val="auto"/>
          <w:sz w:val="24"/>
          <w:szCs w:val="24"/>
          <w:highlight w:val="none"/>
        </w:rPr>
        <w:t>，排放速率最高为</w:t>
      </w:r>
      <w:r>
        <w:rPr>
          <w:rFonts w:hint="eastAsia" w:ascii="Times New Roman" w:hAnsi="Times New Roman" w:cs="Times New Roman"/>
          <w:b w:val="0"/>
          <w:bCs w:val="0"/>
          <w:color w:val="auto"/>
          <w:sz w:val="24"/>
          <w:szCs w:val="24"/>
          <w:vertAlign w:val="baseline"/>
          <w:lang w:val="en-US" w:eastAsia="zh-CN"/>
        </w:rPr>
        <w:t>0.13</w:t>
      </w:r>
      <w:r>
        <w:rPr>
          <w:rFonts w:hint="default" w:ascii="Times New Roman" w:hAnsi="Times New Roman" w:eastAsia="宋体" w:cs="Times New Roman"/>
          <w:bCs/>
          <w:color w:val="auto"/>
          <w:sz w:val="24"/>
          <w:szCs w:val="24"/>
          <w:highlight w:val="none"/>
        </w:rPr>
        <w:t>kg/h</w:t>
      </w:r>
      <w:r>
        <w:rPr>
          <w:rFonts w:hint="default" w:ascii="Times New Roman" w:hAnsi="Times New Roman" w:eastAsia="宋体" w:cs="Times New Roman"/>
          <w:bCs/>
          <w:color w:val="auto"/>
          <w:sz w:val="24"/>
          <w:szCs w:val="24"/>
          <w:highlight w:val="none"/>
          <w:lang w:eastAsia="zh-CN"/>
        </w:rPr>
        <w:t>，</w:t>
      </w:r>
      <w:r>
        <w:rPr>
          <w:rFonts w:hint="default" w:ascii="Times New Roman" w:hAnsi="Times New Roman" w:eastAsia="宋体" w:cs="Times New Roman"/>
          <w:bCs/>
          <w:color w:val="auto"/>
          <w:sz w:val="24"/>
          <w:szCs w:val="24"/>
          <w:highlight w:val="none"/>
        </w:rPr>
        <w:t>满足</w:t>
      </w:r>
      <w:r>
        <w:rPr>
          <w:rFonts w:hint="default" w:ascii="Times New Roman" w:hAnsi="Times New Roman" w:eastAsia="宋体" w:cs="Times New Roman"/>
          <w:bCs/>
          <w:color w:val="auto"/>
          <w:sz w:val="24"/>
          <w:szCs w:val="24"/>
          <w:highlight w:val="none"/>
          <w:lang w:eastAsia="zh-CN"/>
        </w:rPr>
        <w:t>《建材工业大气污染物排放标准》（DB37/2373-2018）表2及《大气污染物综合排放标准》（GB16297-1996）表2二级标准要求。</w:t>
      </w:r>
      <w:r>
        <w:rPr>
          <w:rFonts w:hint="eastAsia" w:ascii="Times New Roman" w:hAnsi="Times New Roman" w:cs="Times New Roman"/>
          <w:bCs/>
          <w:color w:val="auto"/>
          <w:sz w:val="24"/>
          <w:szCs w:val="24"/>
          <w:highlight w:val="none"/>
          <w:lang w:val="en-US" w:eastAsia="zh-CN"/>
        </w:rPr>
        <w:t>P3有组织颗粒物最高排放浓度为5.2</w:t>
      </w:r>
      <w:r>
        <w:rPr>
          <w:rFonts w:hint="default" w:ascii="Times New Roman" w:hAnsi="Times New Roman" w:eastAsia="宋体" w:cs="Times New Roman"/>
          <w:bCs/>
          <w:color w:val="auto"/>
          <w:sz w:val="24"/>
          <w:szCs w:val="24"/>
          <w:highlight w:val="none"/>
        </w:rPr>
        <w:t>mg/m</w:t>
      </w:r>
      <w:r>
        <w:rPr>
          <w:rFonts w:hint="default" w:ascii="Times New Roman" w:hAnsi="Times New Roman" w:eastAsia="宋体" w:cs="Times New Roman"/>
          <w:bCs/>
          <w:color w:val="auto"/>
          <w:sz w:val="24"/>
          <w:szCs w:val="24"/>
          <w:highlight w:val="none"/>
          <w:vertAlign w:val="superscript"/>
        </w:rPr>
        <w:t>3</w:t>
      </w:r>
      <w:r>
        <w:rPr>
          <w:rFonts w:hint="default" w:ascii="Times New Roman" w:hAnsi="Times New Roman" w:eastAsia="宋体" w:cs="Times New Roman"/>
          <w:bCs/>
          <w:color w:val="auto"/>
          <w:sz w:val="24"/>
          <w:szCs w:val="24"/>
          <w:highlight w:val="none"/>
        </w:rPr>
        <w:t>，排放速率最高为</w:t>
      </w:r>
      <w:r>
        <w:rPr>
          <w:rFonts w:hint="eastAsia" w:ascii="Times New Roman" w:hAnsi="Times New Roman" w:cs="Times New Roman"/>
          <w:b w:val="0"/>
          <w:bCs w:val="0"/>
          <w:color w:val="auto"/>
          <w:sz w:val="24"/>
          <w:szCs w:val="24"/>
          <w:vertAlign w:val="baseline"/>
          <w:lang w:val="en-US" w:eastAsia="zh-CN"/>
        </w:rPr>
        <w:t>2.5×10</w:t>
      </w:r>
      <w:r>
        <w:rPr>
          <w:rFonts w:hint="eastAsia" w:ascii="Times New Roman" w:hAnsi="Times New Roman" w:cs="Times New Roman"/>
          <w:b w:val="0"/>
          <w:bCs w:val="0"/>
          <w:color w:val="auto"/>
          <w:sz w:val="24"/>
          <w:szCs w:val="24"/>
          <w:vertAlign w:val="superscript"/>
          <w:lang w:val="en-US" w:eastAsia="zh-CN"/>
        </w:rPr>
        <w:t>-3</w:t>
      </w:r>
      <w:r>
        <w:rPr>
          <w:rFonts w:hint="default" w:ascii="Times New Roman" w:hAnsi="Times New Roman" w:eastAsia="宋体" w:cs="Times New Roman"/>
          <w:bCs/>
          <w:color w:val="auto"/>
          <w:sz w:val="24"/>
          <w:szCs w:val="24"/>
          <w:highlight w:val="none"/>
        </w:rPr>
        <w:t>kg/h</w:t>
      </w:r>
      <w:r>
        <w:rPr>
          <w:rFonts w:hint="eastAsia" w:ascii="Times New Roman" w:hAnsi="Times New Roman" w:eastAsia="宋体" w:cs="Times New Roman"/>
          <w:bCs/>
          <w:color w:val="auto"/>
          <w:sz w:val="24"/>
          <w:szCs w:val="24"/>
          <w:highlight w:val="none"/>
          <w:lang w:eastAsia="zh-CN"/>
        </w:rPr>
        <w:t>；</w:t>
      </w:r>
      <w:r>
        <w:rPr>
          <w:rFonts w:hint="eastAsia" w:ascii="Times New Roman" w:hAnsi="Times New Roman" w:cs="Times New Roman"/>
          <w:bCs/>
          <w:color w:val="auto"/>
          <w:sz w:val="24"/>
          <w:szCs w:val="24"/>
          <w:highlight w:val="none"/>
          <w:lang w:val="en-US" w:eastAsia="zh-CN"/>
        </w:rPr>
        <w:t>有组织</w:t>
      </w:r>
      <w:r>
        <w:rPr>
          <w:rFonts w:hint="eastAsia" w:ascii="Times New Roman" w:hAnsi="Times New Roman" w:eastAsia="宋体" w:cs="Times New Roman"/>
          <w:bCs/>
          <w:color w:val="auto"/>
          <w:sz w:val="24"/>
          <w:szCs w:val="24"/>
          <w:highlight w:val="none"/>
          <w:lang w:eastAsia="zh-CN"/>
        </w:rPr>
        <w:t>二氧化硫</w:t>
      </w:r>
      <w:r>
        <w:rPr>
          <w:rFonts w:hint="eastAsia" w:ascii="Times New Roman" w:hAnsi="Times New Roman" w:cs="Times New Roman"/>
          <w:bCs/>
          <w:color w:val="auto"/>
          <w:sz w:val="24"/>
          <w:szCs w:val="24"/>
          <w:highlight w:val="none"/>
          <w:lang w:val="en-US" w:eastAsia="zh-CN"/>
        </w:rPr>
        <w:t>未检出</w:t>
      </w:r>
      <w:r>
        <w:rPr>
          <w:rFonts w:hint="eastAsia" w:ascii="Times New Roman" w:hAnsi="Times New Roman" w:eastAsia="宋体" w:cs="Times New Roman"/>
          <w:bCs/>
          <w:color w:val="auto"/>
          <w:sz w:val="24"/>
          <w:szCs w:val="24"/>
          <w:highlight w:val="none"/>
          <w:lang w:eastAsia="zh-CN"/>
        </w:rPr>
        <w:t>；有组织氮氧化物</w:t>
      </w:r>
      <w:r>
        <w:rPr>
          <w:rFonts w:hint="eastAsia" w:ascii="Times New Roman" w:hAnsi="Times New Roman" w:cs="Times New Roman"/>
          <w:bCs/>
          <w:color w:val="auto"/>
          <w:sz w:val="24"/>
          <w:szCs w:val="24"/>
          <w:highlight w:val="none"/>
          <w:lang w:val="en-US" w:eastAsia="zh-CN"/>
        </w:rPr>
        <w:t>最高排放浓度为33</w:t>
      </w:r>
      <w:r>
        <w:rPr>
          <w:rFonts w:hint="default" w:ascii="Times New Roman" w:hAnsi="Times New Roman" w:eastAsia="宋体" w:cs="Times New Roman"/>
          <w:bCs/>
          <w:color w:val="auto"/>
          <w:sz w:val="24"/>
          <w:szCs w:val="24"/>
          <w:highlight w:val="none"/>
        </w:rPr>
        <w:t>mg/m</w:t>
      </w:r>
      <w:r>
        <w:rPr>
          <w:rFonts w:hint="default" w:ascii="Times New Roman" w:hAnsi="Times New Roman" w:eastAsia="宋体" w:cs="Times New Roman"/>
          <w:bCs/>
          <w:color w:val="auto"/>
          <w:sz w:val="24"/>
          <w:szCs w:val="24"/>
          <w:highlight w:val="none"/>
          <w:vertAlign w:val="superscript"/>
        </w:rPr>
        <w:t>3</w:t>
      </w:r>
      <w:r>
        <w:rPr>
          <w:rFonts w:hint="default" w:ascii="Times New Roman" w:hAnsi="Times New Roman" w:eastAsia="宋体" w:cs="Times New Roman"/>
          <w:bCs/>
          <w:color w:val="auto"/>
          <w:sz w:val="24"/>
          <w:szCs w:val="24"/>
          <w:highlight w:val="none"/>
        </w:rPr>
        <w:t>，排放速率最高为</w:t>
      </w:r>
      <w:r>
        <w:rPr>
          <w:rFonts w:hint="eastAsia" w:ascii="Times New Roman" w:hAnsi="Times New Roman" w:cs="Times New Roman"/>
          <w:b w:val="0"/>
          <w:bCs w:val="0"/>
          <w:color w:val="auto"/>
          <w:sz w:val="24"/>
          <w:szCs w:val="24"/>
          <w:vertAlign w:val="baseline"/>
          <w:lang w:val="en-US" w:eastAsia="zh-CN"/>
        </w:rPr>
        <w:t>0.017</w:t>
      </w:r>
      <w:r>
        <w:rPr>
          <w:rFonts w:hint="default" w:ascii="Times New Roman" w:hAnsi="Times New Roman" w:eastAsia="宋体" w:cs="Times New Roman"/>
          <w:bCs/>
          <w:color w:val="auto"/>
          <w:sz w:val="24"/>
          <w:szCs w:val="24"/>
          <w:highlight w:val="none"/>
        </w:rPr>
        <w:t>kg/h</w:t>
      </w:r>
      <w:r>
        <w:rPr>
          <w:rFonts w:hint="eastAsia" w:ascii="Times New Roman" w:hAnsi="Times New Roman" w:eastAsia="宋体" w:cs="Times New Roman"/>
          <w:bCs/>
          <w:color w:val="auto"/>
          <w:sz w:val="24"/>
          <w:szCs w:val="24"/>
          <w:highlight w:val="none"/>
          <w:lang w:eastAsia="zh-CN"/>
        </w:rPr>
        <w:t>，均</w:t>
      </w:r>
      <w:r>
        <w:rPr>
          <w:rFonts w:hint="default" w:ascii="Times New Roman" w:hAnsi="Times New Roman" w:eastAsia="宋体" w:cs="Times New Roman"/>
          <w:bCs/>
          <w:color w:val="auto"/>
          <w:sz w:val="24"/>
          <w:szCs w:val="24"/>
          <w:highlight w:val="none"/>
        </w:rPr>
        <w:t>满足《锅炉大气污染物排放标准》（DB 37/2374-2018）“一般控制区”及聊环函[2018]224号中相关标准限值要求</w:t>
      </w:r>
      <w:r>
        <w:rPr>
          <w:rFonts w:hint="eastAsia" w:ascii="Times New Roman" w:hAnsi="Times New Roman" w:eastAsia="宋体" w:cs="Times New Roman"/>
          <w:bCs/>
          <w:color w:val="auto"/>
          <w:sz w:val="24"/>
          <w:szCs w:val="24"/>
          <w:highlight w:val="none"/>
          <w:lang w:eastAsia="zh-CN"/>
        </w:rPr>
        <w:t>。</w:t>
      </w:r>
      <w:r>
        <w:rPr>
          <w:rFonts w:hint="eastAsia" w:ascii="Times New Roman" w:hAnsi="Times New Roman" w:eastAsia="宋体" w:cs="Times New Roman"/>
          <w:bCs/>
          <w:color w:val="auto"/>
          <w:sz w:val="24"/>
          <w:szCs w:val="24"/>
          <w:highlight w:val="none"/>
          <w:lang w:val="en-US" w:eastAsia="zh-CN"/>
        </w:rPr>
        <w:t>P2有组织苯并[a]芘最高排放浓度为0.26</w:t>
      </w:r>
      <w:r>
        <w:rPr>
          <w:rFonts w:hint="default" w:ascii="Times New Roman" w:hAnsi="Times New Roman" w:eastAsia="宋体" w:cs="Times New Roman"/>
          <w:color w:val="auto"/>
          <w:sz w:val="24"/>
          <w:szCs w:val="24"/>
          <w:highlight w:val="none"/>
        </w:rPr>
        <w:t>μ</w:t>
      </w:r>
      <w:r>
        <w:rPr>
          <w:rFonts w:hint="eastAsia" w:ascii="Times New Roman" w:hAnsi="Times New Roman" w:eastAsia="宋体" w:cs="Times New Roman"/>
          <w:bCs/>
          <w:color w:val="auto"/>
          <w:sz w:val="24"/>
          <w:szCs w:val="24"/>
          <w:highlight w:val="none"/>
          <w:lang w:val="en-US" w:eastAsia="zh-CN"/>
        </w:rPr>
        <w:t>g/m</w:t>
      </w:r>
      <w:r>
        <w:rPr>
          <w:rFonts w:hint="eastAsia" w:ascii="Times New Roman" w:hAnsi="Times New Roman" w:eastAsia="宋体" w:cs="Times New Roman"/>
          <w:bCs/>
          <w:color w:val="auto"/>
          <w:sz w:val="24"/>
          <w:szCs w:val="24"/>
          <w:highlight w:val="none"/>
          <w:vertAlign w:val="superscript"/>
          <w:lang w:val="en-US" w:eastAsia="zh-CN"/>
        </w:rPr>
        <w:t>3</w:t>
      </w:r>
      <w:r>
        <w:rPr>
          <w:rFonts w:hint="eastAsia" w:ascii="Times New Roman" w:hAnsi="Times New Roman" w:eastAsia="宋体" w:cs="Times New Roman"/>
          <w:bCs/>
          <w:color w:val="auto"/>
          <w:sz w:val="24"/>
          <w:szCs w:val="24"/>
          <w:highlight w:val="none"/>
          <w:lang w:val="en-US" w:eastAsia="zh-CN"/>
        </w:rPr>
        <w:t>，排放速率最高为2.5×10</w:t>
      </w:r>
      <w:r>
        <w:rPr>
          <w:rFonts w:hint="eastAsia" w:ascii="Times New Roman" w:hAnsi="Times New Roman" w:eastAsia="宋体" w:cs="Times New Roman"/>
          <w:bCs/>
          <w:color w:val="auto"/>
          <w:sz w:val="24"/>
          <w:szCs w:val="24"/>
          <w:highlight w:val="none"/>
          <w:vertAlign w:val="superscript"/>
          <w:lang w:val="en-US" w:eastAsia="zh-CN"/>
        </w:rPr>
        <w:t>-6</w:t>
      </w:r>
      <w:r>
        <w:rPr>
          <w:rFonts w:hint="eastAsia" w:ascii="Times New Roman" w:hAnsi="Times New Roman" w:eastAsia="宋体" w:cs="Times New Roman"/>
          <w:bCs/>
          <w:color w:val="auto"/>
          <w:sz w:val="24"/>
          <w:szCs w:val="24"/>
          <w:highlight w:val="none"/>
          <w:lang w:val="en-US" w:eastAsia="zh-CN"/>
        </w:rPr>
        <w:t>kg/h；有组织沥青烟未检出，均满足《大气污染物综合排放标准》表2中相关标准限值要求。</w:t>
      </w:r>
      <w:r>
        <w:rPr>
          <w:rFonts w:hint="default" w:ascii="Times New Roman" w:hAnsi="Times New Roman" w:eastAsia="宋体" w:cs="Times New Roman"/>
          <w:bCs/>
          <w:color w:val="auto"/>
          <w:sz w:val="24"/>
          <w:szCs w:val="24"/>
          <w:highlight w:val="none"/>
        </w:rPr>
        <w:t>无组织颗粒物小时浓度最高</w:t>
      </w:r>
      <w:r>
        <w:rPr>
          <w:rFonts w:hint="default" w:ascii="Times New Roman" w:hAnsi="Times New Roman" w:eastAsia="宋体" w:cs="Times New Roman"/>
          <w:bCs/>
          <w:color w:val="auto"/>
          <w:sz w:val="24"/>
          <w:szCs w:val="24"/>
          <w:highlight w:val="none"/>
          <w:lang w:eastAsia="zh-CN"/>
        </w:rPr>
        <w:t>为</w:t>
      </w:r>
      <w:r>
        <w:rPr>
          <w:rFonts w:hint="default" w:ascii="Times New Roman" w:hAnsi="Times New Roman" w:eastAsia="宋体" w:cs="Times New Roman"/>
          <w:bCs/>
          <w:color w:val="auto"/>
          <w:sz w:val="24"/>
          <w:szCs w:val="24"/>
          <w:highlight w:val="none"/>
          <w:lang w:val="en-US" w:eastAsia="zh-CN"/>
        </w:rPr>
        <w:t>0.</w:t>
      </w:r>
      <w:r>
        <w:rPr>
          <w:rFonts w:hint="eastAsia" w:ascii="Times New Roman" w:hAnsi="Times New Roman" w:cs="Times New Roman"/>
          <w:bCs/>
          <w:color w:val="auto"/>
          <w:sz w:val="24"/>
          <w:szCs w:val="24"/>
          <w:highlight w:val="none"/>
          <w:lang w:val="en-US" w:eastAsia="zh-CN"/>
        </w:rPr>
        <w:t>493</w:t>
      </w:r>
      <w:r>
        <w:rPr>
          <w:rFonts w:hint="default" w:ascii="Times New Roman" w:hAnsi="Times New Roman" w:eastAsia="宋体" w:cs="Times New Roman"/>
          <w:bCs/>
          <w:color w:val="auto"/>
          <w:sz w:val="24"/>
          <w:szCs w:val="24"/>
          <w:highlight w:val="none"/>
          <w:lang w:eastAsia="zh-CN"/>
        </w:rPr>
        <w:t>mg</w:t>
      </w:r>
      <w:r>
        <w:rPr>
          <w:rFonts w:hint="default" w:ascii="Times New Roman" w:hAnsi="Times New Roman" w:eastAsia="宋体" w:cs="Times New Roman"/>
          <w:bCs/>
          <w:color w:val="auto"/>
          <w:sz w:val="24"/>
          <w:szCs w:val="24"/>
          <w:highlight w:val="none"/>
        </w:rPr>
        <w:t>/m</w:t>
      </w:r>
      <w:r>
        <w:rPr>
          <w:rFonts w:hint="default" w:ascii="Times New Roman" w:hAnsi="Times New Roman" w:eastAsia="宋体" w:cs="Times New Roman"/>
          <w:bCs/>
          <w:color w:val="auto"/>
          <w:sz w:val="24"/>
          <w:szCs w:val="24"/>
          <w:highlight w:val="none"/>
          <w:vertAlign w:val="superscript"/>
        </w:rPr>
        <w:t>3</w:t>
      </w:r>
      <w:r>
        <w:rPr>
          <w:rFonts w:hint="default" w:ascii="Times New Roman" w:hAnsi="Times New Roman" w:eastAsia="宋体" w:cs="Times New Roman"/>
          <w:bCs/>
          <w:color w:val="auto"/>
          <w:sz w:val="24"/>
          <w:szCs w:val="24"/>
          <w:highlight w:val="none"/>
        </w:rPr>
        <w:t>，无组织苯并[a]芘</w:t>
      </w:r>
      <w:r>
        <w:rPr>
          <w:rFonts w:hint="eastAsia" w:ascii="Times New Roman" w:hAnsi="Times New Roman" w:eastAsia="宋体" w:cs="Times New Roman"/>
          <w:bCs/>
          <w:color w:val="auto"/>
          <w:sz w:val="24"/>
          <w:szCs w:val="24"/>
          <w:highlight w:val="none"/>
          <w:lang w:eastAsia="zh-CN"/>
        </w:rPr>
        <w:t>未检出，均</w:t>
      </w:r>
      <w:r>
        <w:rPr>
          <w:rFonts w:hint="default" w:ascii="Times New Roman" w:hAnsi="Times New Roman" w:eastAsia="宋体" w:cs="Times New Roman"/>
          <w:bCs/>
          <w:color w:val="auto"/>
          <w:sz w:val="24"/>
          <w:szCs w:val="24"/>
          <w:highlight w:val="none"/>
        </w:rPr>
        <w:t>满足</w:t>
      </w:r>
      <w:r>
        <w:rPr>
          <w:rFonts w:hint="eastAsia" w:ascii="Times New Roman" w:hAnsi="Times New Roman" w:cs="Times New Roman"/>
          <w:bCs/>
          <w:color w:val="auto"/>
          <w:sz w:val="24"/>
          <w:szCs w:val="24"/>
          <w:highlight w:val="none"/>
          <w:lang w:eastAsia="zh-CN"/>
        </w:rPr>
        <w:t>《</w:t>
      </w:r>
      <w:r>
        <w:rPr>
          <w:rFonts w:hint="default" w:ascii="Times New Roman" w:hAnsi="Times New Roman" w:eastAsia="宋体" w:cs="Times New Roman"/>
          <w:bCs/>
          <w:color w:val="auto"/>
          <w:sz w:val="24"/>
          <w:szCs w:val="24"/>
          <w:highlight w:val="none"/>
          <w:lang w:eastAsia="zh-CN"/>
        </w:rPr>
        <w:t>大气污染物综合排放标准》表2中相关标准限值要求</w:t>
      </w:r>
      <w:r>
        <w:rPr>
          <w:rFonts w:hint="eastAsia" w:cs="Times New Roman"/>
          <w:color w:val="auto"/>
          <w:sz w:val="24"/>
          <w:szCs w:val="24"/>
          <w:lang w:val="en-US" w:eastAsia="zh-CN"/>
        </w:rPr>
        <w:t xml:space="preserve">。 </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 噪声</w:t>
      </w:r>
    </w:p>
    <w:p>
      <w:pPr>
        <w:spacing w:line="360" w:lineRule="auto"/>
        <w:ind w:left="233" w:leftChars="111" w:firstLine="518" w:firstLineChars="216"/>
        <w:rPr>
          <w:rFonts w:hint="default" w:cs="Times New Roman"/>
          <w:color w:val="auto"/>
          <w:sz w:val="24"/>
          <w:szCs w:val="24"/>
          <w:lang w:val="en-US" w:eastAsia="zh-CN"/>
        </w:rPr>
      </w:pPr>
      <w:r>
        <w:rPr>
          <w:rFonts w:hint="default" w:ascii="Times New Roman" w:hAnsi="Times New Roman" w:eastAsia="宋体" w:cs="Times New Roman"/>
          <w:color w:val="auto"/>
          <w:sz w:val="24"/>
          <w:szCs w:val="24"/>
          <w:highlight w:val="none"/>
        </w:rPr>
        <w:t>验收监测期间，监测点位昼间噪声在</w:t>
      </w:r>
      <w:r>
        <w:rPr>
          <w:rFonts w:hint="eastAsia" w:ascii="Times New Roman" w:hAnsi="Times New Roman" w:eastAsia="宋体" w:cs="Times New Roman"/>
          <w:color w:val="auto"/>
          <w:sz w:val="24"/>
          <w:szCs w:val="24"/>
          <w:highlight w:val="none"/>
          <w:lang w:eastAsia="zh-CN"/>
        </w:rPr>
        <w:t>50.3-59.2</w:t>
      </w:r>
      <w:r>
        <w:rPr>
          <w:rFonts w:hint="default" w:ascii="Times New Roman" w:hAnsi="Times New Roman" w:eastAsia="宋体" w:cs="Times New Roman"/>
          <w:color w:val="auto"/>
          <w:sz w:val="24"/>
          <w:szCs w:val="24"/>
          <w:highlight w:val="none"/>
        </w:rPr>
        <w:t>(dB)之间，符合《工业企业厂界环境噪声排放标准》（GB12348－2008）中的</w:t>
      </w:r>
      <w:r>
        <w:rPr>
          <w:rFonts w:hint="default" w:ascii="Times New Roman" w:hAnsi="Times New Roman" w:eastAsia="宋体" w:cs="Times New Roman"/>
          <w:color w:val="auto"/>
          <w:sz w:val="24"/>
          <w:szCs w:val="24"/>
          <w:highlight w:val="none"/>
          <w:lang w:eastAsia="zh-CN"/>
        </w:rPr>
        <w:t>2类标准</w:t>
      </w:r>
      <w:r>
        <w:rPr>
          <w:rFonts w:hint="default" w:ascii="Times New Roman" w:hAnsi="Times New Roman" w:eastAsia="宋体" w:cs="Times New Roman"/>
          <w:color w:val="auto"/>
          <w:sz w:val="24"/>
          <w:szCs w:val="24"/>
          <w:highlight w:val="none"/>
        </w:rPr>
        <w:t>限值</w:t>
      </w:r>
      <w:r>
        <w:rPr>
          <w:rFonts w:hint="default" w:cs="Times New Roman"/>
          <w:color w:val="auto"/>
          <w:sz w:val="24"/>
          <w:szCs w:val="24"/>
          <w:lang w:val="en-US" w:eastAsia="zh-CN"/>
        </w:rPr>
        <w:t>。</w:t>
      </w:r>
    </w:p>
    <w:p>
      <w:pPr>
        <w:numPr>
          <w:ilvl w:val="0"/>
          <w:numId w:val="4"/>
        </w:num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val="en-US" w:eastAsia="zh-CN"/>
        </w:rPr>
        <w:t>同上文三、（四）</w:t>
      </w:r>
      <w:r>
        <w:rPr>
          <w:rFonts w:hint="default" w:ascii="Times New Roman" w:hAnsi="Times New Roman" w:eastAsia="宋体" w:cs="Times New Roman"/>
          <w:color w:val="auto"/>
          <w:sz w:val="24"/>
          <w:szCs w:val="24"/>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（二）环境管理调查</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eastAsia="zh-CN"/>
        </w:rPr>
        <w:t>茌平县恒远兴业路桥有限责任公司</w:t>
      </w:r>
      <w:r>
        <w:rPr>
          <w:rFonts w:hint="default" w:ascii="Times New Roman" w:hAnsi="Times New Roman" w:eastAsia="宋体" w:cs="Times New Roman"/>
          <w:color w:val="auto"/>
          <w:sz w:val="24"/>
          <w:szCs w:val="24"/>
        </w:rPr>
        <w:t>制定了《</w:t>
      </w:r>
      <w:r>
        <w:rPr>
          <w:rFonts w:hint="eastAsia" w:cs="Times New Roman"/>
          <w:color w:val="auto"/>
          <w:sz w:val="24"/>
          <w:szCs w:val="24"/>
          <w:lang w:eastAsia="zh-CN"/>
        </w:rPr>
        <w:t>茌平县恒远兴业路桥有限责任公司</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eastAsia" w:ascii="Times New Roman" w:hAnsi="Times New Roman" w:eastAsia="宋体"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五、</w:t>
      </w:r>
      <w:r>
        <w:rPr>
          <w:rFonts w:hint="eastAsia" w:cs="Times New Roman"/>
          <w:color w:val="auto"/>
          <w:sz w:val="24"/>
          <w:szCs w:val="24"/>
          <w:lang w:eastAsia="zh-CN"/>
        </w:rPr>
        <w:t>专家意见</w:t>
      </w:r>
    </w:p>
    <w:p>
      <w:pPr>
        <w:spacing w:line="360" w:lineRule="auto"/>
        <w:ind w:left="233" w:leftChars="111" w:firstLine="518" w:firstLineChars="216"/>
        <w:jc w:val="left"/>
        <w:rPr>
          <w:rFonts w:hint="eastAsia" w:cs="Times New Roman"/>
          <w:color w:val="auto"/>
          <w:sz w:val="24"/>
          <w:szCs w:val="24"/>
          <w:lang w:val="en-US" w:eastAsia="zh-CN"/>
        </w:rPr>
      </w:pPr>
      <w:r>
        <w:rPr>
          <w:rFonts w:hint="eastAsia" w:cs="Times New Roman"/>
          <w:color w:val="auto"/>
          <w:sz w:val="24"/>
          <w:szCs w:val="24"/>
          <w:lang w:val="en-US" w:eastAsia="zh-CN"/>
        </w:rPr>
        <w:t>1、建议将配料斗投料粉尘通入布袋除尘器处理后的2米高排气筒加高至15米，及时补充监测，确保达标排放。</w:t>
      </w:r>
    </w:p>
    <w:p>
      <w:pPr>
        <w:spacing w:line="360" w:lineRule="auto"/>
        <w:ind w:left="233" w:leftChars="111" w:firstLine="518" w:firstLineChars="216"/>
        <w:jc w:val="left"/>
        <w:rPr>
          <w:rFonts w:hint="eastAsia" w:cs="Times New Roman"/>
          <w:color w:val="auto"/>
          <w:sz w:val="24"/>
          <w:szCs w:val="24"/>
          <w:lang w:val="en-US" w:eastAsia="zh-CN"/>
        </w:rPr>
      </w:pPr>
      <w:r>
        <w:rPr>
          <w:rFonts w:hint="eastAsia" w:cs="Times New Roman"/>
          <w:color w:val="auto"/>
          <w:sz w:val="24"/>
          <w:szCs w:val="24"/>
          <w:lang w:val="en-US" w:eastAsia="zh-CN"/>
        </w:rPr>
        <w:t>2、定期检查废气收集设施的运行情况，确保废气有效收集和处理。</w:t>
      </w:r>
    </w:p>
    <w:p>
      <w:pPr>
        <w:spacing w:line="360" w:lineRule="auto"/>
        <w:ind w:left="233" w:leftChars="111" w:firstLine="518" w:firstLineChars="216"/>
        <w:jc w:val="left"/>
        <w:rPr>
          <w:rFonts w:hint="eastAsia" w:cs="Times New Roman"/>
          <w:color w:val="auto"/>
          <w:sz w:val="24"/>
          <w:szCs w:val="24"/>
          <w:lang w:val="en-US" w:eastAsia="zh-CN"/>
        </w:rPr>
      </w:pPr>
      <w:r>
        <w:rPr>
          <w:rFonts w:hint="eastAsia" w:cs="Times New Roman"/>
          <w:color w:val="auto"/>
          <w:sz w:val="24"/>
          <w:szCs w:val="24"/>
          <w:lang w:val="en-US" w:eastAsia="zh-CN"/>
        </w:rPr>
        <w:t>3、落实自行监测计划，定期开展废气及噪声自行监测。</w:t>
      </w:r>
    </w:p>
    <w:p>
      <w:pPr>
        <w:spacing w:line="360" w:lineRule="auto"/>
        <w:ind w:left="233" w:leftChars="111" w:firstLine="518" w:firstLineChars="216"/>
        <w:jc w:val="both"/>
        <w:rPr>
          <w:rFonts w:hint="eastAsia" w:cs="Times New Roman"/>
          <w:color w:val="auto"/>
          <w:sz w:val="24"/>
          <w:szCs w:val="24"/>
          <w:lang w:val="en-US" w:eastAsia="zh-CN"/>
        </w:rPr>
      </w:pPr>
      <w:r>
        <w:rPr>
          <w:rFonts w:hint="eastAsia" w:cs="Times New Roman"/>
          <w:color w:val="auto"/>
          <w:sz w:val="24"/>
          <w:szCs w:val="24"/>
          <w:lang w:val="en-US" w:eastAsia="zh-CN"/>
        </w:rPr>
        <w:t>4、项目运营过程中，一般工业固废严格按照《一般工业固体废物贮存和填埋污染控制标准》（GB 18599-2020）要求执行；危险废物严格按照《危险废物贮存污染控制标准》（GB18597-2001）及修改单要求，对产生的危险废物进行贮存和管理，并委托有资质的单位及时进行转移处置。</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六、验收结论</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鉴于项目符合国家和地方相关产业标准及准入要求，用地符合当地规划，环保设施与生产配套，验收期间各项监测指标满足国家相关排放标准，该项目通过环保验收。</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七、验收人员信息见附件。</w:t>
      </w:r>
    </w:p>
    <w:p>
      <w:pPr>
        <w:wordWrap w:val="0"/>
        <w:spacing w:line="360" w:lineRule="auto"/>
        <w:ind w:left="233" w:leftChars="111" w:firstLine="520" w:firstLineChars="216"/>
        <w:jc w:val="right"/>
        <w:rPr>
          <w:rFonts w:hint="default" w:cs="Times New Roman"/>
          <w:b/>
          <w:bCs/>
          <w:color w:val="auto"/>
          <w:sz w:val="24"/>
          <w:szCs w:val="24"/>
          <w:lang w:val="en-US" w:eastAsia="zh-CN"/>
        </w:rPr>
      </w:pPr>
      <w:r>
        <w:rPr>
          <w:rFonts w:hint="eastAsia" w:cs="Times New Roman"/>
          <w:b/>
          <w:bCs/>
          <w:color w:val="auto"/>
          <w:sz w:val="24"/>
          <w:szCs w:val="24"/>
          <w:lang w:val="en-US" w:eastAsia="zh-CN"/>
        </w:rPr>
        <w:t xml:space="preserve"> </w:t>
      </w:r>
    </w:p>
    <w:p>
      <w:pPr>
        <w:spacing w:line="360" w:lineRule="auto"/>
        <w:ind w:left="233" w:leftChars="111" w:firstLine="520" w:firstLineChars="216"/>
        <w:jc w:val="right"/>
        <w:rPr>
          <w:rFonts w:hint="eastAsia" w:cs="Times New Roman"/>
          <w:b/>
          <w:bCs/>
          <w:color w:val="auto"/>
          <w:sz w:val="24"/>
          <w:szCs w:val="24"/>
          <w:lang w:eastAsia="zh-CN"/>
        </w:rPr>
      </w:pPr>
      <w:r>
        <w:rPr>
          <w:rFonts w:hint="eastAsia" w:cs="Times New Roman"/>
          <w:b/>
          <w:bCs/>
          <w:color w:val="auto"/>
          <w:sz w:val="24"/>
          <w:szCs w:val="24"/>
          <w:lang w:eastAsia="zh-CN"/>
        </w:rPr>
        <w:t>茌平县恒远兴业路桥有限责任公司验收组</w:t>
      </w:r>
    </w:p>
    <w:p>
      <w:pPr>
        <w:spacing w:line="360" w:lineRule="auto"/>
        <w:ind w:left="233" w:leftChars="111" w:firstLine="520" w:firstLineChars="216"/>
        <w:jc w:val="right"/>
        <w:rPr>
          <w:rFonts w:hint="default"/>
          <w:color w:val="auto"/>
          <w:lang w:eastAsia="zh-CN"/>
        </w:rPr>
      </w:pPr>
      <w:r>
        <w:rPr>
          <w:rFonts w:hint="default" w:ascii="Times New Roman" w:hAnsi="Times New Roman" w:eastAsia="宋体" w:cs="Times New Roman"/>
          <w:b/>
          <w:bCs/>
          <w:color w:val="auto"/>
          <w:sz w:val="24"/>
          <w:szCs w:val="24"/>
        </w:rPr>
        <w:t xml:space="preserve">          </w:t>
      </w:r>
      <w:r>
        <w:rPr>
          <w:rFonts w:hint="default" w:ascii="Times New Roman" w:hAnsi="Times New Roman" w:eastAsia="宋体" w:cs="Times New Roman"/>
          <w:b/>
          <w:bCs/>
          <w:color w:val="auto"/>
          <w:sz w:val="24"/>
          <w:szCs w:val="24"/>
          <w:highlight w:val="none"/>
        </w:rPr>
        <w:t xml:space="preserve">                      </w:t>
      </w:r>
      <w:r>
        <w:rPr>
          <w:rFonts w:hint="eastAsia" w:cs="Times New Roman"/>
          <w:b/>
          <w:bCs/>
          <w:color w:val="auto"/>
          <w:sz w:val="24"/>
          <w:szCs w:val="24"/>
          <w:highlight w:val="none"/>
          <w:lang w:eastAsia="zh-CN"/>
        </w:rPr>
        <w:t>2022年10月23日</w:t>
      </w:r>
    </w:p>
    <w:sectPr>
      <w:footerReference r:id="rId3"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5E2C2C"/>
    <w:multiLevelType w:val="singleLevel"/>
    <w:tmpl w:val="C65E2C2C"/>
    <w:lvl w:ilvl="0" w:tentative="0">
      <w:start w:val="4"/>
      <w:numFmt w:val="decimal"/>
      <w:suff w:val="space"/>
      <w:lvlText w:val="%1."/>
      <w:lvlJc w:val="left"/>
    </w:lvl>
  </w:abstractNum>
  <w:abstractNum w:abstractNumId="1">
    <w:nsid w:val="EC370676"/>
    <w:multiLevelType w:val="singleLevel"/>
    <w:tmpl w:val="EC370676"/>
    <w:lvl w:ilvl="0" w:tentative="0">
      <w:start w:val="1"/>
      <w:numFmt w:val="decimal"/>
      <w:suff w:val="space"/>
      <w:lvlText w:val="%1."/>
      <w:lvlJc w:val="left"/>
    </w:lvl>
  </w:abstractNum>
  <w:abstractNum w:abstractNumId="2">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MmQyNTFkOTFmY2M3Y2Q3YzEzYmZlMzM2ZWU0M2EifQ=="/>
  </w:docVars>
  <w:rsids>
    <w:rsidRoot w:val="00000000"/>
    <w:rsid w:val="00D403B8"/>
    <w:rsid w:val="01A67464"/>
    <w:rsid w:val="02E1230E"/>
    <w:rsid w:val="0363342C"/>
    <w:rsid w:val="0400088B"/>
    <w:rsid w:val="06DC5C52"/>
    <w:rsid w:val="06FA77FF"/>
    <w:rsid w:val="0705220E"/>
    <w:rsid w:val="07E235D4"/>
    <w:rsid w:val="0A095F9B"/>
    <w:rsid w:val="0A775B6C"/>
    <w:rsid w:val="0BB105F9"/>
    <w:rsid w:val="0BCD78E3"/>
    <w:rsid w:val="0BD4352F"/>
    <w:rsid w:val="0C9D7A18"/>
    <w:rsid w:val="0D002E61"/>
    <w:rsid w:val="0E9F521D"/>
    <w:rsid w:val="0EE31230"/>
    <w:rsid w:val="0EF20DA9"/>
    <w:rsid w:val="0FD64E9F"/>
    <w:rsid w:val="110D6D4E"/>
    <w:rsid w:val="12BE4513"/>
    <w:rsid w:val="13242E95"/>
    <w:rsid w:val="14A230EF"/>
    <w:rsid w:val="17073D8B"/>
    <w:rsid w:val="188E6607"/>
    <w:rsid w:val="18B2210E"/>
    <w:rsid w:val="18D05E89"/>
    <w:rsid w:val="19BD6A9B"/>
    <w:rsid w:val="1AAF6CA7"/>
    <w:rsid w:val="1B372D00"/>
    <w:rsid w:val="1B753DC5"/>
    <w:rsid w:val="1B7C7285"/>
    <w:rsid w:val="1BAC68BE"/>
    <w:rsid w:val="1DF30D46"/>
    <w:rsid w:val="1E9D1B02"/>
    <w:rsid w:val="20E424AA"/>
    <w:rsid w:val="20F95110"/>
    <w:rsid w:val="21E62141"/>
    <w:rsid w:val="22374D88"/>
    <w:rsid w:val="23253252"/>
    <w:rsid w:val="24DD3549"/>
    <w:rsid w:val="271C2272"/>
    <w:rsid w:val="27420539"/>
    <w:rsid w:val="27776D4F"/>
    <w:rsid w:val="284C33EF"/>
    <w:rsid w:val="286B6E9D"/>
    <w:rsid w:val="28DD0C70"/>
    <w:rsid w:val="29BE5B0F"/>
    <w:rsid w:val="2BD129D7"/>
    <w:rsid w:val="2BFB35B9"/>
    <w:rsid w:val="2C8345D6"/>
    <w:rsid w:val="2D1E75E2"/>
    <w:rsid w:val="2DE61E9D"/>
    <w:rsid w:val="2E594393"/>
    <w:rsid w:val="31572BC2"/>
    <w:rsid w:val="337178B1"/>
    <w:rsid w:val="33E80446"/>
    <w:rsid w:val="35A21894"/>
    <w:rsid w:val="35CA7C00"/>
    <w:rsid w:val="36292142"/>
    <w:rsid w:val="371221B6"/>
    <w:rsid w:val="37740DAA"/>
    <w:rsid w:val="395656FC"/>
    <w:rsid w:val="3A002C99"/>
    <w:rsid w:val="3B2962D5"/>
    <w:rsid w:val="3B9345B4"/>
    <w:rsid w:val="3BAC5A77"/>
    <w:rsid w:val="3C495586"/>
    <w:rsid w:val="3C614E95"/>
    <w:rsid w:val="3D216C63"/>
    <w:rsid w:val="3D44701A"/>
    <w:rsid w:val="3D481CA9"/>
    <w:rsid w:val="3DE20D1D"/>
    <w:rsid w:val="3E7D0FBB"/>
    <w:rsid w:val="3EF115E1"/>
    <w:rsid w:val="407E79EC"/>
    <w:rsid w:val="41DA2A3C"/>
    <w:rsid w:val="425A3055"/>
    <w:rsid w:val="42D02360"/>
    <w:rsid w:val="42ED0B8D"/>
    <w:rsid w:val="440B2C50"/>
    <w:rsid w:val="45B12AB5"/>
    <w:rsid w:val="46440069"/>
    <w:rsid w:val="483D5E39"/>
    <w:rsid w:val="4BC32318"/>
    <w:rsid w:val="4CF47C94"/>
    <w:rsid w:val="4D966CB6"/>
    <w:rsid w:val="51603323"/>
    <w:rsid w:val="51800668"/>
    <w:rsid w:val="51D32C9A"/>
    <w:rsid w:val="52082039"/>
    <w:rsid w:val="520B1012"/>
    <w:rsid w:val="522D7EDE"/>
    <w:rsid w:val="53D87E59"/>
    <w:rsid w:val="56DD1623"/>
    <w:rsid w:val="584674DB"/>
    <w:rsid w:val="59632F9B"/>
    <w:rsid w:val="59772D6C"/>
    <w:rsid w:val="5B994AD0"/>
    <w:rsid w:val="5BB97A85"/>
    <w:rsid w:val="5C705EEE"/>
    <w:rsid w:val="5CE527E4"/>
    <w:rsid w:val="5D580A9C"/>
    <w:rsid w:val="5DBA7B13"/>
    <w:rsid w:val="5EF47FD0"/>
    <w:rsid w:val="5F0C4CFF"/>
    <w:rsid w:val="602A22C2"/>
    <w:rsid w:val="645131A5"/>
    <w:rsid w:val="64C4763E"/>
    <w:rsid w:val="65826A80"/>
    <w:rsid w:val="66FB5067"/>
    <w:rsid w:val="679E3E90"/>
    <w:rsid w:val="6A4209DB"/>
    <w:rsid w:val="6A4C0A9D"/>
    <w:rsid w:val="6ABA50EB"/>
    <w:rsid w:val="6DEB0CC4"/>
    <w:rsid w:val="6E620EC2"/>
    <w:rsid w:val="6FCF1540"/>
    <w:rsid w:val="70346B17"/>
    <w:rsid w:val="72964393"/>
    <w:rsid w:val="72C90F73"/>
    <w:rsid w:val="7593546D"/>
    <w:rsid w:val="75C3338A"/>
    <w:rsid w:val="76AB541C"/>
    <w:rsid w:val="77930543"/>
    <w:rsid w:val="79227712"/>
    <w:rsid w:val="79D33082"/>
    <w:rsid w:val="7FC4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unhideWhenUsed/>
    <w:qFormat/>
    <w:uiPriority w:val="99"/>
    <w:pPr>
      <w:jc w:val="left"/>
    </w:pPr>
  </w:style>
  <w:style w:type="paragraph" w:styleId="4">
    <w:name w:val="Body Text"/>
    <w:basedOn w:val="1"/>
    <w:next w:val="5"/>
    <w:qFormat/>
    <w:uiPriority w:val="0"/>
    <w:pPr>
      <w:spacing w:after="120"/>
    </w:pPr>
  </w:style>
  <w:style w:type="paragraph" w:styleId="5">
    <w:name w:val="Date"/>
    <w:basedOn w:val="1"/>
    <w:next w:val="1"/>
    <w:qFormat/>
    <w:uiPriority w:val="0"/>
    <w:pPr>
      <w:ind w:left="100" w:leftChars="2500"/>
    </w:pPr>
    <w:rPr>
      <w:rFonts w:ascii="宋体" w:hAnsi="宋体"/>
      <w:szCs w:val="24"/>
    </w:rPr>
  </w:style>
  <w:style w:type="paragraph" w:styleId="6">
    <w:name w:val="Body Text Indent"/>
    <w:basedOn w:val="1"/>
    <w:next w:val="7"/>
    <w:qFormat/>
    <w:uiPriority w:val="0"/>
    <w:pPr>
      <w:ind w:right="-100" w:firstLine="560" w:firstLineChars="200"/>
    </w:pPr>
    <w:rPr>
      <w:sz w:val="28"/>
    </w:rPr>
  </w:style>
  <w:style w:type="paragraph" w:styleId="7">
    <w:name w:val="header"/>
    <w:basedOn w:val="1"/>
    <w:next w:val="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样式5"/>
    <w:basedOn w:val="9"/>
    <w:qFormat/>
    <w:uiPriority w:val="0"/>
    <w:pPr>
      <w:snapToGrid w:val="0"/>
      <w:spacing w:line="360" w:lineRule="auto"/>
      <w:ind w:firstLine="510"/>
    </w:pPr>
    <w:rPr>
      <w:sz w:val="24"/>
    </w:rPr>
  </w:style>
  <w:style w:type="paragraph" w:customStyle="1" w:styleId="9">
    <w:name w:val="正文1"/>
    <w:basedOn w:val="1"/>
    <w:next w:val="1"/>
    <w:qFormat/>
    <w:uiPriority w:val="0"/>
    <w:pPr>
      <w:jc w:val="center"/>
    </w:pPr>
    <w:rPr>
      <w:rFonts w:ascii="宋体" w:hAnsi="宋体"/>
      <w:kern w:val="36"/>
    </w:rPr>
  </w:style>
  <w:style w:type="paragraph" w:styleId="10">
    <w:name w:val="Block Text"/>
    <w:basedOn w:val="1"/>
    <w:unhideWhenUsed/>
    <w:qFormat/>
    <w:uiPriority w:val="99"/>
    <w:pPr>
      <w:adjustRightInd/>
      <w:ind w:left="525" w:leftChars="250" w:right="685" w:rightChars="326" w:firstLine="560"/>
      <w:jc w:val="both"/>
      <w:textAlignment w:val="auto"/>
    </w:pPr>
    <w:rPr>
      <w:sz w:val="28"/>
      <w:szCs w:val="24"/>
    </w:rPr>
  </w:style>
  <w:style w:type="paragraph" w:styleId="11">
    <w:name w:val="Plain Text"/>
    <w:basedOn w:val="1"/>
    <w:next w:val="6"/>
    <w:unhideWhenUsed/>
    <w:qFormat/>
    <w:uiPriority w:val="99"/>
    <w:rPr>
      <w:rFonts w:ascii="宋体" w:hAnsi="Courier New" w:cs="Courier New"/>
      <w:szCs w:val="21"/>
    </w:rPr>
  </w:style>
  <w:style w:type="paragraph" w:styleId="12">
    <w:name w:val="footer"/>
    <w:basedOn w:val="1"/>
    <w:qFormat/>
    <w:uiPriority w:val="0"/>
    <w:pPr>
      <w:tabs>
        <w:tab w:val="center" w:pos="4153"/>
        <w:tab w:val="right" w:pos="8306"/>
      </w:tabs>
      <w:snapToGrid w:val="0"/>
      <w:jc w:val="left"/>
    </w:pPr>
    <w:rPr>
      <w:sz w:val="18"/>
    </w:rPr>
  </w:style>
  <w:style w:type="table" w:styleId="14">
    <w:name w:val="Table Grid"/>
    <w:basedOn w:val="1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6">
    <w:name w:val="List Paragraph"/>
    <w:basedOn w:val="1"/>
    <w:qFormat/>
    <w:uiPriority w:val="99"/>
    <w:pPr>
      <w:ind w:firstLine="420" w:firstLineChars="200"/>
    </w:pPr>
  </w:style>
  <w:style w:type="paragraph" w:customStyle="1" w:styleId="17">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3129</Words>
  <Characters>3375</Characters>
  <Lines>0</Lines>
  <Paragraphs>0</Paragraphs>
  <TotalTime>8</TotalTime>
  <ScaleCrop>false</ScaleCrop>
  <LinksUpToDate>false</LinksUpToDate>
  <CharactersWithSpaces>3414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2023-05-27T06:37:33Z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5F3E9D957CC14E9F938D06946CE12F19</vt:lpwstr>
  </property>
</Properties>
</file>